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6EBFBA" w14:textId="77777777" w:rsidR="009A3399" w:rsidRDefault="009A3399" w:rsidP="009A3399">
      <w:pPr>
        <w:spacing w:after="0"/>
        <w:ind w:left="-851"/>
        <w:jc w:val="right"/>
        <w:rPr>
          <w:rFonts w:ascii="Times New Roman" w:hAnsi="Times New Roman" w:cs="Times New Roman"/>
        </w:rPr>
      </w:pPr>
      <w:r w:rsidRPr="009A3399">
        <w:rPr>
          <w:rFonts w:ascii="Times New Roman" w:hAnsi="Times New Roman" w:cs="Times New Roman"/>
        </w:rPr>
        <w:t xml:space="preserve">«Шетелдік тауарларды, оның ішінде оларға қатысты </w:t>
      </w:r>
    </w:p>
    <w:p w14:paraId="388B2BDA" w14:textId="77777777" w:rsidR="009A3399" w:rsidRDefault="009A3399" w:rsidP="009A3399">
      <w:pPr>
        <w:spacing w:after="0"/>
        <w:ind w:left="-851"/>
        <w:jc w:val="right"/>
        <w:rPr>
          <w:rFonts w:ascii="Times New Roman" w:hAnsi="Times New Roman" w:cs="Times New Roman"/>
        </w:rPr>
      </w:pPr>
      <w:r w:rsidRPr="009A3399">
        <w:rPr>
          <w:rFonts w:ascii="Times New Roman" w:hAnsi="Times New Roman" w:cs="Times New Roman"/>
        </w:rPr>
        <w:t xml:space="preserve">Еуразиялық экономикалық одақтың Бірыңғай </w:t>
      </w:r>
    </w:p>
    <w:p w14:paraId="71D2A78C" w14:textId="77777777" w:rsidR="009A3399" w:rsidRDefault="009A3399" w:rsidP="009A3399">
      <w:pPr>
        <w:spacing w:after="0"/>
        <w:ind w:left="-851"/>
        <w:jc w:val="right"/>
        <w:rPr>
          <w:rFonts w:ascii="Times New Roman" w:hAnsi="Times New Roman" w:cs="Times New Roman"/>
        </w:rPr>
      </w:pPr>
      <w:r w:rsidRPr="009A3399">
        <w:rPr>
          <w:rFonts w:ascii="Times New Roman" w:hAnsi="Times New Roman" w:cs="Times New Roman"/>
        </w:rPr>
        <w:t xml:space="preserve">кедендік тарифінде белгіленгенге қарағанда кедендік </w:t>
      </w:r>
    </w:p>
    <w:p w14:paraId="7CBB982E" w14:textId="77777777" w:rsidR="009A3399" w:rsidRDefault="009A3399" w:rsidP="009A3399">
      <w:pPr>
        <w:spacing w:after="0"/>
        <w:ind w:left="-851"/>
        <w:jc w:val="right"/>
        <w:rPr>
          <w:rFonts w:ascii="Times New Roman" w:hAnsi="Times New Roman" w:cs="Times New Roman"/>
        </w:rPr>
      </w:pPr>
      <w:r w:rsidRPr="009A3399">
        <w:rPr>
          <w:rFonts w:ascii="Times New Roman" w:hAnsi="Times New Roman" w:cs="Times New Roman"/>
        </w:rPr>
        <w:t>әкелу баждарының ең төмен мөлшерлемелері</w:t>
      </w:r>
    </w:p>
    <w:p w14:paraId="39B046C1" w14:textId="77777777" w:rsidR="009A3399" w:rsidRDefault="009A3399" w:rsidP="009A3399">
      <w:pPr>
        <w:spacing w:after="0"/>
        <w:ind w:left="-851"/>
        <w:jc w:val="right"/>
        <w:rPr>
          <w:rFonts w:ascii="Times New Roman" w:hAnsi="Times New Roman" w:cs="Times New Roman"/>
        </w:rPr>
      </w:pPr>
      <w:r w:rsidRPr="009A3399">
        <w:rPr>
          <w:rFonts w:ascii="Times New Roman" w:hAnsi="Times New Roman" w:cs="Times New Roman"/>
        </w:rPr>
        <w:t xml:space="preserve"> қолданылатын тауарларды пайдалану бойынша есеп» </w:t>
      </w:r>
    </w:p>
    <w:p w14:paraId="56FB7A70" w14:textId="77777777" w:rsidR="009A3399" w:rsidRDefault="009A3399" w:rsidP="009A3399">
      <w:pPr>
        <w:spacing w:after="0"/>
        <w:ind w:left="-851"/>
        <w:jc w:val="right"/>
        <w:rPr>
          <w:rFonts w:ascii="Times New Roman" w:hAnsi="Times New Roman" w:cs="Times New Roman"/>
        </w:rPr>
      </w:pPr>
      <w:r w:rsidRPr="009A3399">
        <w:rPr>
          <w:rFonts w:ascii="Times New Roman" w:hAnsi="Times New Roman" w:cs="Times New Roman"/>
        </w:rPr>
        <w:t xml:space="preserve">әкімшілік деректерді өтеусіз негізде жинауға </w:t>
      </w:r>
    </w:p>
    <w:p w14:paraId="00DEEDC0" w14:textId="3A973C92" w:rsidR="009A3399" w:rsidRPr="009A3399" w:rsidRDefault="009A3399" w:rsidP="009A3399">
      <w:pPr>
        <w:spacing w:after="0"/>
        <w:ind w:left="-851"/>
        <w:jc w:val="right"/>
        <w:rPr>
          <w:rFonts w:ascii="Times New Roman" w:hAnsi="Times New Roman" w:cs="Times New Roman"/>
        </w:rPr>
      </w:pPr>
      <w:r w:rsidRPr="009A3399">
        <w:rPr>
          <w:rFonts w:ascii="Times New Roman" w:hAnsi="Times New Roman" w:cs="Times New Roman"/>
        </w:rPr>
        <w:t>арналған нысанына</w:t>
      </w:r>
    </w:p>
    <w:p w14:paraId="03539ED1" w14:textId="76E3ACD5" w:rsidR="009A3399" w:rsidRDefault="009A3399" w:rsidP="009A3399">
      <w:pPr>
        <w:spacing w:after="0"/>
        <w:ind w:left="-851"/>
        <w:jc w:val="right"/>
        <w:rPr>
          <w:rFonts w:ascii="Times New Roman" w:hAnsi="Times New Roman" w:cs="Times New Roman"/>
        </w:rPr>
      </w:pPr>
      <w:r w:rsidRPr="009A3399">
        <w:rPr>
          <w:rFonts w:ascii="Times New Roman" w:hAnsi="Times New Roman" w:cs="Times New Roman"/>
        </w:rPr>
        <w:t>қосымша</w:t>
      </w:r>
    </w:p>
    <w:p w14:paraId="176A6A95" w14:textId="77777777" w:rsidR="009A3399" w:rsidRPr="009A3399" w:rsidRDefault="009A3399" w:rsidP="009A3399">
      <w:pPr>
        <w:spacing w:after="0"/>
        <w:ind w:left="-851"/>
        <w:rPr>
          <w:rFonts w:ascii="Times New Roman" w:hAnsi="Times New Roman" w:cs="Times New Roman"/>
        </w:rPr>
      </w:pPr>
    </w:p>
    <w:p w14:paraId="3A007704" w14:textId="77777777" w:rsidR="009A3399" w:rsidRPr="009A3399" w:rsidRDefault="009A3399" w:rsidP="009A3399">
      <w:pPr>
        <w:ind w:left="-851"/>
        <w:jc w:val="center"/>
        <w:rPr>
          <w:rFonts w:ascii="Times New Roman" w:hAnsi="Times New Roman" w:cs="Times New Roman"/>
          <w:b/>
          <w:bCs/>
        </w:rPr>
      </w:pPr>
      <w:r w:rsidRPr="009A3399">
        <w:rPr>
          <w:rFonts w:ascii="Times New Roman" w:hAnsi="Times New Roman" w:cs="Times New Roman"/>
          <w:b/>
          <w:bCs/>
        </w:rPr>
        <w:t>«Шетелдік тауарларды, оның ішінде оларға қатысты Еуразиялық экономикалық одақтың Бірыңғай кедендік тарифінде белгіленгенге қарағанда кедендік әкелу баждарының ең төмен мөлшерлемелері қолданылатын тауарларды пайдалану бойынша есеп» (ИТЕТТ-1, жартыжылдық сайын) әкімшілік деректерді өтеусіз негізде жинауға арналған нысанын толтыру жөніндегі түсіндірме</w:t>
      </w:r>
    </w:p>
    <w:p w14:paraId="3EE2B78B"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«Шетелдік тауарларды, оның ішінде оларға қатысты Еуразиялық экономикалық одақтың Бірыңғай кедендік тарифінде белгіленгенге қарағанда кедендік әкелу баждарының ең төмен мөлшерлемелері қолданылатын тауарларды пайдалану бойынша есеп» әкімшілік деректерді өтеусіз негізде жинауға арналған нысаны мынадай түрде толтырылады:</w:t>
      </w:r>
    </w:p>
    <w:p w14:paraId="1AA82DFC"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1-бағанда реті бойынша нөмірі көрсетіледі;</w:t>
      </w:r>
    </w:p>
    <w:p w14:paraId="40F8D1E5"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2-бағанда шетелдік тауарға иелік ететін және (немесе) оны пайдаланатын тұлғаның тегі, аты және әкесінің аты (егер ол жеке басты куәландыратын құжатта көрсетілсе) не толық атауы көрсетіледі;</w:t>
      </w:r>
    </w:p>
    <w:p w14:paraId="2499249F"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3-бағанда шетелдік тауарға иелік ететін және (немесе) оны пайдаланатын тұлғаның бизнес сәйкестендіру нөмірі (бұдан әрі – БСН) немесе ЖСН көрсетіледі;</w:t>
      </w:r>
    </w:p>
    <w:p w14:paraId="221EA6DA"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4-бағанда әр жол бойынша ТД нөмірі көрсетіледі;</w:t>
      </w:r>
    </w:p>
    <w:p w14:paraId="0CF3D0CA"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5-бағанда тауардың толық атауы көрсетіледі;</w:t>
      </w:r>
    </w:p>
    <w:p w14:paraId="009D95D3"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6-бағанда ТД 32-бағанына сәйкес декларацияланған шетелдік тауардың реттік нөмірі көрсетіледі;</w:t>
      </w:r>
    </w:p>
    <w:p w14:paraId="38897B39"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7-бағанда ТД 33-бағанына сәйкес ЕАЭО СЭҚ ТН сәйкес тауардың 10 мәнді коды көрсетіледі;</w:t>
      </w:r>
    </w:p>
    <w:p w14:paraId="0D48FCB3"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8-бағанда ТД 37-бағанына сәйкес рәсімнің құрамдық коды көрсетіледі;</w:t>
      </w:r>
    </w:p>
    <w:p w14:paraId="44130671"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9-бағанда ТД 38-бағанына сәйкес килограммен тауардың нетто салмағы көрсетіледі;</w:t>
      </w:r>
    </w:p>
    <w:p w14:paraId="28EAE55C"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10-бағанда тауар саны өлшем бірлікпен (мысалы, саны данада, метрде, литрде, килограмда) көрсетіледі;</w:t>
      </w:r>
    </w:p>
    <w:p w14:paraId="566DB8C3"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11-бағанда ТД 46-бағанына сәйкес АҚШ долларымен тауардың статистикалық құны көрсетіледі;</w:t>
      </w:r>
    </w:p>
    <w:p w14:paraId="4A55EF79"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12-бағанда бухгалтерлік есепте бастапқы есепке алу құжаттарының қозғаласына сәйкес шетелдік тауарға ие және (немесе) оны пайдаланатын тұлға берген шетелдік тауардың түгендеу нөмірі (болған кезде) көрсетіледі;</w:t>
      </w:r>
    </w:p>
    <w:p w14:paraId="5DD0DE9B"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13-бағанда бухгалтерлік есеп карточкасы бойынша шетелдік тауарға ие және (немесе) оны пайдаланатын тұлға берген бухгалтерлік есеп шоттарының үлгілік жоспарына сәйкес шот нөмірі көрсетіледі (болған кезде);</w:t>
      </w:r>
    </w:p>
    <w:p w14:paraId="30F8BE7F"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14-бағанда тауармен жасалатын іс-әрекет көрсетіледі. Толтыру кезінде мынадай кодтауды басшылыққа алу керек:</w:t>
      </w:r>
    </w:p>
    <w:p w14:paraId="51B0CDFA"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1) шетелдік тауарды өткізген жағдайда «1» деген цифр қойылады;</w:t>
      </w:r>
    </w:p>
    <w:p w14:paraId="06DAC05F"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2) шетелдік тауарды үшінші тұлғаға берген жағдайда (мысалы, қоғамдық қор тауарды өтеусіз негізде үшінші тұлғаға берген кезде) «2» деген цифр қойылады;</w:t>
      </w:r>
    </w:p>
    <w:p w14:paraId="1112BA1B"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3) шетелдік тауарды есептен шығарған жағдайда «3 деген цифр қойылады;</w:t>
      </w:r>
    </w:p>
    <w:p w14:paraId="167A5D20"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4) шетелдік тауарды жеке қажеттілігіне пайдаланған жағдайда «4» деген цифр қойылады;</w:t>
      </w:r>
    </w:p>
    <w:p w14:paraId="6F535AC1"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lastRenderedPageBreak/>
        <w:t>15-бағанда ол бойынша тауар пайдаланылған құжат (мысалы, шот-фактура, есептен шығаруға арналған акті және өзге) көрсетіледі;</w:t>
      </w:r>
    </w:p>
    <w:p w14:paraId="6BCD9EEA"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16-бағанда ол бойынша тауар пайдаланылған құжат нөмірі мен күні мынадай форматта көрсетіледі «КК.АА.ЖЖЖЖ»;</w:t>
      </w:r>
    </w:p>
    <w:p w14:paraId="4A565A23"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17-бағанда пайдаланылған шетелдік тауардың нетто салмағы килограммен көрсетіледі;</w:t>
      </w:r>
    </w:p>
    <w:p w14:paraId="6DCCD68A"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18-бағанда пайдаланылған шетелдік тауар саны өлшем бірлікпен (мысалы, саны данада, метрде, литрде, килограмда және өзгемен) көрсетіледі;</w:t>
      </w:r>
    </w:p>
    <w:p w14:paraId="664F6690"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19-бағанда шетелдік тауар өткізілген немесе берілген тұлғаның тегі, аты және әкесінің аты (егер ол жеке басты куәландыратын құжатта көрсетілсе) толық атауы көрсетіледі;</w:t>
      </w:r>
    </w:p>
    <w:p w14:paraId="0F1E9B06"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20-бағанда шетелдік тауар өткізілген немесе берілген тұлғаның БСН немесе ЖСН көрсетіледі;</w:t>
      </w:r>
    </w:p>
    <w:p w14:paraId="242E008F"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21-бағанда өлшем бірлікпен (мысалы, данада, метрде, литрде, және өзгемен саны) тауарлардың қалдығы көрсетіледі;</w:t>
      </w:r>
    </w:p>
    <w:p w14:paraId="13D83D73"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22-бағанда есептілікті беру сәтіне шетелдік тауардың іс жүзінде орналасқан орны (мысалы, мекенжайы, ұңғыма нөмірі, кен орнының нөмірі және өзге) көрсетіледі;</w:t>
      </w:r>
    </w:p>
    <w:p w14:paraId="69BA33E6"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23-бағанда қосымша мәліметтер көрсетіледі.</w:t>
      </w:r>
    </w:p>
    <w:p w14:paraId="2765F791"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Көрсетілген есептің бағандарын толтырған кезде ұяшықтарды толтырусыз қалдыруға жол берілмейді, тиісті бағандарда қандай да бір мәліметтер болмаған жағдайда «0» (нөл) деген цифр қойылады, есептің ұяшықтарын біріктіруге жол берілмейді.</w:t>
      </w:r>
    </w:p>
    <w:p w14:paraId="0DD73691"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Есеп өсу қорытындысымен қалыптастырылады және қандай да бір мәндер өзгерген жағдайда деректер жартыжылдықта бір рет жаңартылады.</w:t>
      </w:r>
    </w:p>
    <w:p w14:paraId="145517B2" w14:textId="77777777" w:rsidR="009A3399" w:rsidRPr="009A3399" w:rsidRDefault="009A3399" w:rsidP="009A3399">
      <w:pPr>
        <w:ind w:left="-851"/>
        <w:jc w:val="both"/>
        <w:rPr>
          <w:rFonts w:ascii="Times New Roman" w:hAnsi="Times New Roman" w:cs="Times New Roman"/>
        </w:rPr>
      </w:pPr>
      <w:r w:rsidRPr="009A3399">
        <w:rPr>
          <w:rFonts w:ascii="Times New Roman" w:hAnsi="Times New Roman" w:cs="Times New Roman"/>
        </w:rPr>
        <w:t>Шетелдік тауарды өткізген кезде есептің 12, 13, 14, 15, 16, 17, 18, 19 және 20-бағандары толтырылмайды. Бұл ретте тауарды өткізу туралы мәліметтер электрондық шот-фактураны жазып беру кезінде көрсетіледі.</w:t>
      </w:r>
    </w:p>
    <w:p w14:paraId="261971B9" w14:textId="77777777" w:rsidR="00F37B6F" w:rsidRPr="009A3399" w:rsidRDefault="00F37B6F" w:rsidP="009A3399">
      <w:pPr>
        <w:ind w:left="-851"/>
        <w:rPr>
          <w:rFonts w:ascii="Times New Roman" w:hAnsi="Times New Roman" w:cs="Times New Roman"/>
        </w:rPr>
      </w:pPr>
      <w:bookmarkStart w:id="0" w:name="_GoBack"/>
      <w:bookmarkEnd w:id="0"/>
    </w:p>
    <w:sectPr w:rsidR="00F37B6F" w:rsidRPr="009A33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B24"/>
    <w:rsid w:val="002C7B24"/>
    <w:rsid w:val="009A3399"/>
    <w:rsid w:val="00F37B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63A95"/>
  <w15:chartTrackingRefBased/>
  <w15:docId w15:val="{C70F3131-A3C1-4327-B97C-61610DC7B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0087329">
      <w:bodyDiv w:val="1"/>
      <w:marLeft w:val="0"/>
      <w:marRight w:val="0"/>
      <w:marTop w:val="0"/>
      <w:marBottom w:val="0"/>
      <w:divBdr>
        <w:top w:val="none" w:sz="0" w:space="0" w:color="auto"/>
        <w:left w:val="none" w:sz="0" w:space="0" w:color="auto"/>
        <w:bottom w:val="none" w:sz="0" w:space="0" w:color="auto"/>
        <w:right w:val="none" w:sz="0" w:space="0" w:color="auto"/>
      </w:divBdr>
      <w:divsChild>
        <w:div w:id="1120763191">
          <w:marLeft w:val="0"/>
          <w:marRight w:val="0"/>
          <w:marTop w:val="0"/>
          <w:marBottom w:val="0"/>
          <w:divBdr>
            <w:top w:val="none" w:sz="0" w:space="0" w:color="auto"/>
            <w:left w:val="none" w:sz="0" w:space="0" w:color="auto"/>
            <w:bottom w:val="none" w:sz="0" w:space="0" w:color="auto"/>
            <w:right w:val="none" w:sz="0" w:space="0" w:color="auto"/>
          </w:divBdr>
        </w:div>
        <w:div w:id="1430850565">
          <w:marLeft w:val="0"/>
          <w:marRight w:val="0"/>
          <w:marTop w:val="0"/>
          <w:marBottom w:val="240"/>
          <w:divBdr>
            <w:top w:val="none" w:sz="0" w:space="0" w:color="auto"/>
            <w:left w:val="none" w:sz="0" w:space="0" w:color="auto"/>
            <w:bottom w:val="none" w:sz="0" w:space="0" w:color="auto"/>
            <w:right w:val="none" w:sz="0" w:space="0" w:color="auto"/>
          </w:divBdr>
        </w:div>
        <w:div w:id="368380486">
          <w:marLeft w:val="0"/>
          <w:marRight w:val="0"/>
          <w:marTop w:val="0"/>
          <w:marBottom w:val="240"/>
          <w:divBdr>
            <w:top w:val="none" w:sz="0" w:space="0" w:color="auto"/>
            <w:left w:val="none" w:sz="0" w:space="0" w:color="auto"/>
            <w:bottom w:val="none" w:sz="0" w:space="0" w:color="auto"/>
            <w:right w:val="none" w:sz="0" w:space="0" w:color="auto"/>
          </w:divBdr>
        </w:div>
        <w:div w:id="468714640">
          <w:marLeft w:val="0"/>
          <w:marRight w:val="0"/>
          <w:marTop w:val="0"/>
          <w:marBottom w:val="0"/>
          <w:divBdr>
            <w:top w:val="none" w:sz="0" w:space="0" w:color="auto"/>
            <w:left w:val="none" w:sz="0" w:space="0" w:color="auto"/>
            <w:bottom w:val="none" w:sz="0" w:space="0" w:color="auto"/>
            <w:right w:val="none" w:sz="0" w:space="0" w:color="auto"/>
          </w:divBdr>
        </w:div>
        <w:div w:id="243222429">
          <w:marLeft w:val="0"/>
          <w:marRight w:val="0"/>
          <w:marTop w:val="0"/>
          <w:marBottom w:val="0"/>
          <w:divBdr>
            <w:top w:val="none" w:sz="0" w:space="0" w:color="auto"/>
            <w:left w:val="none" w:sz="0" w:space="0" w:color="auto"/>
            <w:bottom w:val="none" w:sz="0" w:space="0" w:color="auto"/>
            <w:right w:val="none" w:sz="0" w:space="0" w:color="auto"/>
          </w:divBdr>
        </w:div>
        <w:div w:id="1737318717">
          <w:marLeft w:val="0"/>
          <w:marRight w:val="0"/>
          <w:marTop w:val="0"/>
          <w:marBottom w:val="0"/>
          <w:divBdr>
            <w:top w:val="none" w:sz="0" w:space="0" w:color="auto"/>
            <w:left w:val="none" w:sz="0" w:space="0" w:color="auto"/>
            <w:bottom w:val="none" w:sz="0" w:space="0" w:color="auto"/>
            <w:right w:val="none" w:sz="0" w:space="0" w:color="auto"/>
          </w:divBdr>
        </w:div>
        <w:div w:id="10617665">
          <w:marLeft w:val="0"/>
          <w:marRight w:val="0"/>
          <w:marTop w:val="0"/>
          <w:marBottom w:val="0"/>
          <w:divBdr>
            <w:top w:val="none" w:sz="0" w:space="0" w:color="auto"/>
            <w:left w:val="none" w:sz="0" w:space="0" w:color="auto"/>
            <w:bottom w:val="none" w:sz="0" w:space="0" w:color="auto"/>
            <w:right w:val="none" w:sz="0" w:space="0" w:color="auto"/>
          </w:divBdr>
        </w:div>
        <w:div w:id="1494105147">
          <w:marLeft w:val="0"/>
          <w:marRight w:val="0"/>
          <w:marTop w:val="0"/>
          <w:marBottom w:val="0"/>
          <w:divBdr>
            <w:top w:val="none" w:sz="0" w:space="0" w:color="auto"/>
            <w:left w:val="none" w:sz="0" w:space="0" w:color="auto"/>
            <w:bottom w:val="none" w:sz="0" w:space="0" w:color="auto"/>
            <w:right w:val="none" w:sz="0" w:space="0" w:color="auto"/>
          </w:divBdr>
        </w:div>
        <w:div w:id="1238056441">
          <w:marLeft w:val="0"/>
          <w:marRight w:val="0"/>
          <w:marTop w:val="0"/>
          <w:marBottom w:val="0"/>
          <w:divBdr>
            <w:top w:val="none" w:sz="0" w:space="0" w:color="auto"/>
            <w:left w:val="none" w:sz="0" w:space="0" w:color="auto"/>
            <w:bottom w:val="none" w:sz="0" w:space="0" w:color="auto"/>
            <w:right w:val="none" w:sz="0" w:space="0" w:color="auto"/>
          </w:divBdr>
        </w:div>
        <w:div w:id="407701867">
          <w:marLeft w:val="0"/>
          <w:marRight w:val="0"/>
          <w:marTop w:val="0"/>
          <w:marBottom w:val="0"/>
          <w:divBdr>
            <w:top w:val="none" w:sz="0" w:space="0" w:color="auto"/>
            <w:left w:val="none" w:sz="0" w:space="0" w:color="auto"/>
            <w:bottom w:val="none" w:sz="0" w:space="0" w:color="auto"/>
            <w:right w:val="none" w:sz="0" w:space="0" w:color="auto"/>
          </w:divBdr>
        </w:div>
        <w:div w:id="1711345650">
          <w:marLeft w:val="0"/>
          <w:marRight w:val="0"/>
          <w:marTop w:val="0"/>
          <w:marBottom w:val="0"/>
          <w:divBdr>
            <w:top w:val="none" w:sz="0" w:space="0" w:color="auto"/>
            <w:left w:val="none" w:sz="0" w:space="0" w:color="auto"/>
            <w:bottom w:val="none" w:sz="0" w:space="0" w:color="auto"/>
            <w:right w:val="none" w:sz="0" w:space="0" w:color="auto"/>
          </w:divBdr>
        </w:div>
        <w:div w:id="1393188437">
          <w:marLeft w:val="0"/>
          <w:marRight w:val="0"/>
          <w:marTop w:val="0"/>
          <w:marBottom w:val="0"/>
          <w:divBdr>
            <w:top w:val="none" w:sz="0" w:space="0" w:color="auto"/>
            <w:left w:val="none" w:sz="0" w:space="0" w:color="auto"/>
            <w:bottom w:val="none" w:sz="0" w:space="0" w:color="auto"/>
            <w:right w:val="none" w:sz="0" w:space="0" w:color="auto"/>
          </w:divBdr>
        </w:div>
        <w:div w:id="238908433">
          <w:marLeft w:val="0"/>
          <w:marRight w:val="0"/>
          <w:marTop w:val="0"/>
          <w:marBottom w:val="0"/>
          <w:divBdr>
            <w:top w:val="none" w:sz="0" w:space="0" w:color="auto"/>
            <w:left w:val="none" w:sz="0" w:space="0" w:color="auto"/>
            <w:bottom w:val="none" w:sz="0" w:space="0" w:color="auto"/>
            <w:right w:val="none" w:sz="0" w:space="0" w:color="auto"/>
          </w:divBdr>
        </w:div>
        <w:div w:id="1708792290">
          <w:marLeft w:val="0"/>
          <w:marRight w:val="0"/>
          <w:marTop w:val="0"/>
          <w:marBottom w:val="0"/>
          <w:divBdr>
            <w:top w:val="none" w:sz="0" w:space="0" w:color="auto"/>
            <w:left w:val="none" w:sz="0" w:space="0" w:color="auto"/>
            <w:bottom w:val="none" w:sz="0" w:space="0" w:color="auto"/>
            <w:right w:val="none" w:sz="0" w:space="0" w:color="auto"/>
          </w:divBdr>
        </w:div>
        <w:div w:id="186480227">
          <w:marLeft w:val="0"/>
          <w:marRight w:val="0"/>
          <w:marTop w:val="0"/>
          <w:marBottom w:val="0"/>
          <w:divBdr>
            <w:top w:val="none" w:sz="0" w:space="0" w:color="auto"/>
            <w:left w:val="none" w:sz="0" w:space="0" w:color="auto"/>
            <w:bottom w:val="none" w:sz="0" w:space="0" w:color="auto"/>
            <w:right w:val="none" w:sz="0" w:space="0" w:color="auto"/>
          </w:divBdr>
        </w:div>
        <w:div w:id="1738243643">
          <w:marLeft w:val="0"/>
          <w:marRight w:val="0"/>
          <w:marTop w:val="0"/>
          <w:marBottom w:val="0"/>
          <w:divBdr>
            <w:top w:val="none" w:sz="0" w:space="0" w:color="auto"/>
            <w:left w:val="none" w:sz="0" w:space="0" w:color="auto"/>
            <w:bottom w:val="none" w:sz="0" w:space="0" w:color="auto"/>
            <w:right w:val="none" w:sz="0" w:space="0" w:color="auto"/>
          </w:divBdr>
        </w:div>
        <w:div w:id="1471631189">
          <w:marLeft w:val="0"/>
          <w:marRight w:val="0"/>
          <w:marTop w:val="0"/>
          <w:marBottom w:val="0"/>
          <w:divBdr>
            <w:top w:val="none" w:sz="0" w:space="0" w:color="auto"/>
            <w:left w:val="none" w:sz="0" w:space="0" w:color="auto"/>
            <w:bottom w:val="none" w:sz="0" w:space="0" w:color="auto"/>
            <w:right w:val="none" w:sz="0" w:space="0" w:color="auto"/>
          </w:divBdr>
        </w:div>
        <w:div w:id="112753909">
          <w:marLeft w:val="0"/>
          <w:marRight w:val="0"/>
          <w:marTop w:val="0"/>
          <w:marBottom w:val="0"/>
          <w:divBdr>
            <w:top w:val="none" w:sz="0" w:space="0" w:color="auto"/>
            <w:left w:val="none" w:sz="0" w:space="0" w:color="auto"/>
            <w:bottom w:val="none" w:sz="0" w:space="0" w:color="auto"/>
            <w:right w:val="none" w:sz="0" w:space="0" w:color="auto"/>
          </w:divBdr>
        </w:div>
        <w:div w:id="21399110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665</Words>
  <Characters>3791</Characters>
  <Application>Microsoft Office Word</Application>
  <DocSecurity>0</DocSecurity>
  <Lines>31</Lines>
  <Paragraphs>8</Paragraphs>
  <ScaleCrop>false</ScaleCrop>
  <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3</cp:revision>
  <dcterms:created xsi:type="dcterms:W3CDTF">2026-05-28T07:32:00Z</dcterms:created>
  <dcterms:modified xsi:type="dcterms:W3CDTF">2026-05-28T07:34:00Z</dcterms:modified>
</cp:coreProperties>
</file>